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BE" w:rsidRDefault="00DE6DE0">
      <w:pPr>
        <w:pStyle w:val="Textoindependiente"/>
        <w:ind w:left="3915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983519" cy="10972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19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5BE" w:rsidRDefault="00DE6DE0">
      <w:pPr>
        <w:pStyle w:val="Textoindependiente"/>
        <w:spacing w:before="90"/>
        <w:ind w:right="102"/>
        <w:jc w:val="center"/>
        <w:rPr>
          <w:rFonts w:ascii="Book Antiqua" w:hAnsi="Book Antiqua"/>
        </w:rPr>
      </w:pPr>
      <w:r>
        <w:rPr>
          <w:rFonts w:ascii="Book Antiqua" w:hAnsi="Book Antiqua"/>
        </w:rPr>
        <w:t>República Dominicana</w:t>
      </w:r>
    </w:p>
    <w:p w:rsidR="003F35BE" w:rsidRDefault="00DE6DE0">
      <w:pPr>
        <w:spacing w:before="57"/>
        <w:ind w:right="829"/>
        <w:jc w:val="center"/>
        <w:rPr>
          <w:rFonts w:ascii="Book Antiqua"/>
          <w:sz w:val="36"/>
        </w:rPr>
      </w:pPr>
      <w:r>
        <w:rPr>
          <w:rFonts w:ascii="Book Antiqua"/>
          <w:sz w:val="36"/>
        </w:rPr>
        <w:t>MINISTERIO DE DEFENSA</w:t>
      </w:r>
    </w:p>
    <w:p w:rsidR="003F35BE" w:rsidRDefault="00DE6DE0">
      <w:pPr>
        <w:pStyle w:val="Heading2"/>
        <w:spacing w:before="4"/>
        <w:ind w:left="0" w:right="109"/>
        <w:jc w:val="center"/>
        <w:rPr>
          <w:rFonts w:ascii="Book Antiqua"/>
        </w:rPr>
      </w:pPr>
      <w:r>
        <w:rPr>
          <w:rFonts w:ascii="Book Antiqua"/>
        </w:rPr>
        <w:t>SUPERINTENDENCIA DE VIGILANCIA Y SEGURIDAD PRIVADA</w:t>
      </w:r>
    </w:p>
    <w:p w:rsidR="003F35BE" w:rsidRDefault="00DE6DE0">
      <w:pPr>
        <w:pStyle w:val="Textoindependiente"/>
        <w:spacing w:before="3"/>
        <w:ind w:right="34"/>
        <w:jc w:val="center"/>
        <w:rPr>
          <w:rFonts w:ascii="Book Antiqua" w:hAnsi="Book Antiqua"/>
        </w:rPr>
      </w:pPr>
      <w:r>
        <w:rPr>
          <w:rFonts w:ascii="Book Antiqua" w:hAnsi="Book Antiqua"/>
        </w:rPr>
        <w:t>“TODO POR LA PATRIA”</w:t>
      </w:r>
    </w:p>
    <w:p w:rsidR="002163E9" w:rsidRDefault="002163E9">
      <w:pPr>
        <w:pStyle w:val="Textoindependiente"/>
        <w:spacing w:before="3"/>
        <w:ind w:right="34"/>
        <w:jc w:val="center"/>
        <w:rPr>
          <w:rFonts w:ascii="Book Antiqua" w:hAnsi="Book Antiqua"/>
        </w:rPr>
      </w:pPr>
      <w:r>
        <w:rPr>
          <w:rFonts w:ascii="Book Antiqua" w:hAnsi="Book Antiqua"/>
        </w:rPr>
        <w:t>“Año de la Innovación y la Competitividad”</w:t>
      </w:r>
    </w:p>
    <w:p w:rsidR="003F35BE" w:rsidRDefault="003F35BE">
      <w:pPr>
        <w:pStyle w:val="Textoindependiente"/>
        <w:rPr>
          <w:rFonts w:ascii="Book Antiqua"/>
          <w:sz w:val="28"/>
        </w:rPr>
      </w:pPr>
    </w:p>
    <w:p w:rsidR="003F35BE" w:rsidRPr="002163E9" w:rsidRDefault="003F35BE">
      <w:pPr>
        <w:pStyle w:val="Textoindependiente"/>
        <w:rPr>
          <w:rFonts w:ascii="Book Antiqua" w:hAnsi="Book Antiqua"/>
          <w:color w:val="FFFFFF" w:themeColor="background1"/>
          <w:sz w:val="28"/>
        </w:rPr>
      </w:pPr>
    </w:p>
    <w:p w:rsidR="003F35BE" w:rsidRDefault="003F35BE">
      <w:pPr>
        <w:pStyle w:val="Textoindependiente"/>
        <w:rPr>
          <w:rFonts w:ascii="Book Antiqua"/>
          <w:sz w:val="28"/>
        </w:rPr>
      </w:pPr>
    </w:p>
    <w:p w:rsidR="003F35BE" w:rsidRDefault="00DE6DE0">
      <w:pPr>
        <w:spacing w:before="194"/>
        <w:ind w:right="428"/>
        <w:jc w:val="center"/>
        <w:rPr>
          <w:b/>
          <w:sz w:val="26"/>
        </w:rPr>
      </w:pPr>
      <w:r>
        <w:rPr>
          <w:b/>
          <w:sz w:val="26"/>
        </w:rPr>
        <w:t>Ficha Técnica</w:t>
      </w:r>
    </w:p>
    <w:p w:rsidR="003F35BE" w:rsidRDefault="003F35BE">
      <w:pPr>
        <w:pStyle w:val="Textoindependiente"/>
        <w:rPr>
          <w:b/>
          <w:sz w:val="28"/>
        </w:rPr>
      </w:pPr>
    </w:p>
    <w:p w:rsidR="003F35BE" w:rsidRDefault="003F35BE">
      <w:pPr>
        <w:pStyle w:val="Textoindependiente"/>
        <w:spacing w:before="4"/>
        <w:rPr>
          <w:b/>
          <w:sz w:val="25"/>
        </w:rPr>
      </w:pPr>
    </w:p>
    <w:p w:rsidR="003F35BE" w:rsidRDefault="002163E9">
      <w:pPr>
        <w:pStyle w:val="Heading1"/>
      </w:pPr>
      <w:r>
        <w:t>SOLICITUD TICKETS DE COMBUSTIBLE</w:t>
      </w:r>
      <w:r w:rsidR="00DE6DE0">
        <w:t>.</w:t>
      </w:r>
    </w:p>
    <w:p w:rsidR="003F35BE" w:rsidRDefault="00DE6DE0" w:rsidP="002163E9">
      <w:pPr>
        <w:pStyle w:val="Heading1"/>
      </w:pPr>
      <w:r w:rsidRPr="002163E9">
        <w:t xml:space="preserve"> Comparación de Precios</w:t>
      </w:r>
    </w:p>
    <w:p w:rsidR="002163E9" w:rsidRPr="002163E9" w:rsidRDefault="002163E9" w:rsidP="002163E9">
      <w:pPr>
        <w:spacing w:before="194"/>
        <w:ind w:right="428"/>
        <w:jc w:val="center"/>
        <w:rPr>
          <w:b/>
          <w:sz w:val="26"/>
        </w:rPr>
      </w:pPr>
      <w:r w:rsidRPr="002163E9">
        <w:rPr>
          <w:b/>
          <w:sz w:val="26"/>
        </w:rPr>
        <w:t>VIGILANCIA PRIVADA-CCC-CP-2019-0002</w:t>
      </w: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2163E9" w:rsidRDefault="002163E9" w:rsidP="002163E9">
      <w:pPr>
        <w:spacing w:before="194"/>
        <w:ind w:right="428"/>
        <w:jc w:val="center"/>
        <w:rPr>
          <w:sz w:val="26"/>
        </w:rPr>
      </w:pPr>
    </w:p>
    <w:p w:rsidR="003F35BE" w:rsidRPr="002163E9" w:rsidRDefault="003F35BE" w:rsidP="002163E9">
      <w:pPr>
        <w:pStyle w:val="Heading1"/>
      </w:pPr>
    </w:p>
    <w:p w:rsidR="003F35BE" w:rsidRDefault="003F35BE">
      <w:pPr>
        <w:pStyle w:val="Textoindependiente"/>
        <w:rPr>
          <w:b/>
          <w:sz w:val="20"/>
        </w:rPr>
      </w:pPr>
    </w:p>
    <w:p w:rsidR="003F35BE" w:rsidRDefault="007C0286">
      <w:pPr>
        <w:pStyle w:val="Textoindependiente"/>
        <w:spacing w:before="8"/>
        <w:rPr>
          <w:b/>
          <w:sz w:val="12"/>
        </w:rPr>
      </w:pPr>
      <w:r w:rsidRPr="007C0286">
        <w:pict>
          <v:group id="_x0000_s1026" style="position:absolute;margin-left:70.55pt;margin-top:9.3pt;width:471pt;height:2.4pt;z-index:-251658240;mso-wrap-distance-left:0;mso-wrap-distance-right:0;mso-position-horizontal-relative:page" coordorigin="1411,186" coordsize="9420,48">
            <v:line id="_x0000_s1028" style="position:absolute" from="1411,220" to="10831,220" strokecolor="maroon" strokeweight="1.44pt"/>
            <v:line id="_x0000_s1027" style="position:absolute" from="1411,191" to="10831,191" strokecolor="maroon" strokeweight=".48pt"/>
            <w10:wrap type="topAndBottom" anchorx="page"/>
          </v:group>
        </w:pict>
      </w:r>
    </w:p>
    <w:p w:rsidR="003F35BE" w:rsidRDefault="00DE6DE0">
      <w:pPr>
        <w:pStyle w:val="Heading2"/>
        <w:spacing w:line="202" w:lineRule="exact"/>
        <w:ind w:left="0" w:right="358"/>
        <w:jc w:val="center"/>
      </w:pPr>
      <w:r>
        <w:t>Santo Domingo, Distrito Nacional.</w:t>
      </w:r>
    </w:p>
    <w:p w:rsidR="003F35BE" w:rsidRDefault="00DE6DE0">
      <w:pPr>
        <w:spacing w:line="292" w:lineRule="exact"/>
        <w:ind w:right="422"/>
        <w:jc w:val="center"/>
        <w:rPr>
          <w:sz w:val="26"/>
        </w:rPr>
      </w:pPr>
      <w:r>
        <w:rPr>
          <w:sz w:val="26"/>
        </w:rPr>
        <w:t>1</w:t>
      </w:r>
      <w:r w:rsidR="00833FBC">
        <w:rPr>
          <w:sz w:val="26"/>
        </w:rPr>
        <w:t>3</w:t>
      </w:r>
      <w:r>
        <w:rPr>
          <w:sz w:val="26"/>
        </w:rPr>
        <w:t xml:space="preserve"> de </w:t>
      </w:r>
      <w:r w:rsidR="00833FBC">
        <w:rPr>
          <w:sz w:val="26"/>
        </w:rPr>
        <w:t>Julio</w:t>
      </w:r>
      <w:r>
        <w:rPr>
          <w:sz w:val="26"/>
        </w:rPr>
        <w:t>, 2019.</w:t>
      </w:r>
    </w:p>
    <w:p w:rsidR="003F35BE" w:rsidRDefault="003F35BE">
      <w:pPr>
        <w:pStyle w:val="Textoindependiente"/>
        <w:rPr>
          <w:sz w:val="28"/>
        </w:rPr>
      </w:pPr>
    </w:p>
    <w:p w:rsidR="003F35BE" w:rsidRDefault="003F35BE">
      <w:pPr>
        <w:pStyle w:val="Textoindependiente"/>
        <w:rPr>
          <w:sz w:val="28"/>
        </w:rPr>
      </w:pPr>
    </w:p>
    <w:p w:rsidR="003F35BE" w:rsidRDefault="003F35BE">
      <w:pPr>
        <w:pStyle w:val="Textoindependiente"/>
        <w:spacing w:before="8"/>
        <w:rPr>
          <w:sz w:val="36"/>
        </w:rPr>
      </w:pPr>
    </w:p>
    <w:p w:rsidR="003F35BE" w:rsidRDefault="00DE6DE0">
      <w:pPr>
        <w:pStyle w:val="Textoindependiente"/>
        <w:ind w:left="152" w:right="106"/>
        <w:jc w:val="both"/>
      </w:pPr>
      <w:r>
        <w:lastRenderedPageBreak/>
        <w:t>La Superintendencia de Vigilancia y Seguridad, en virtud de lo establecido en la Ley 340-06, sobre Compras y Contrataciones Públicas de Bienes, Obras, Servicios y Concesiones, sus modificaciones contenidas en la Ley 449-06 y su Reglamento de aplicación No. 543-12 de fecha seis (6) de septiembre del dos mil doce (2012).</w:t>
      </w:r>
    </w:p>
    <w:p w:rsidR="003F35BE" w:rsidRDefault="003F35BE">
      <w:pPr>
        <w:pStyle w:val="Textoindependiente"/>
        <w:spacing w:before="2"/>
      </w:pPr>
    </w:p>
    <w:p w:rsidR="003F35BE" w:rsidRDefault="00DE6DE0">
      <w:pPr>
        <w:pStyle w:val="Textoindependiente"/>
        <w:spacing w:line="242" w:lineRule="auto"/>
        <w:ind w:left="140" w:right="560"/>
        <w:jc w:val="both"/>
      </w:pPr>
      <w:r>
        <w:t xml:space="preserve">Invita a todas las personas naturales y/o jurídicas interesadas a los fines de presentar su mejor oferta para la Adquisición de Tickets de Combustible para el periodo </w:t>
      </w:r>
      <w:r w:rsidR="00833FBC">
        <w:t>Julio</w:t>
      </w:r>
      <w:r>
        <w:t>-</w:t>
      </w:r>
      <w:r w:rsidR="00833FBC">
        <w:t>Diciembre</w:t>
      </w:r>
      <w:r>
        <w:t xml:space="preserve"> 2019 Por un monto RD$</w:t>
      </w:r>
      <w:r w:rsidR="002163E9">
        <w:t>2,999,958</w:t>
      </w:r>
      <w:r>
        <w:t>.00 (</w:t>
      </w:r>
      <w:r w:rsidR="002163E9">
        <w:t>Dos Millones</w:t>
      </w:r>
      <w:r>
        <w:t xml:space="preserve"> </w:t>
      </w:r>
      <w:r w:rsidR="002163E9">
        <w:t>Novecientos Noventa y Nueve Mil Novecientos Cincuenta y Ocho</w:t>
      </w:r>
      <w:r>
        <w:t xml:space="preserve"> Pesos con 00/100).</w:t>
      </w:r>
    </w:p>
    <w:p w:rsidR="003F35BE" w:rsidRDefault="003F35BE">
      <w:pPr>
        <w:pStyle w:val="Textoindependiente"/>
        <w:spacing w:before="1"/>
        <w:rPr>
          <w:sz w:val="26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1"/>
        <w:gridCol w:w="4351"/>
        <w:gridCol w:w="1125"/>
        <w:gridCol w:w="1190"/>
      </w:tblGrid>
      <w:tr w:rsidR="003F35BE">
        <w:trPr>
          <w:trHeight w:val="562"/>
        </w:trPr>
        <w:tc>
          <w:tcPr>
            <w:tcW w:w="691" w:type="dxa"/>
            <w:tcBorders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before="182"/>
              <w:ind w:left="18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4351" w:type="dxa"/>
            <w:tcBorders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before="182"/>
              <w:ind w:left="1659" w:right="16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before="26"/>
              <w:ind w:right="9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Unidad de</w:t>
            </w:r>
          </w:p>
          <w:p w:rsidR="003F35BE" w:rsidRDefault="00DE6DE0">
            <w:pPr>
              <w:pStyle w:val="TableParagraph"/>
              <w:spacing w:before="63" w:line="223" w:lineRule="exact"/>
              <w:ind w:right="19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Medida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before="67" w:line="229" w:lineRule="exact"/>
              <w:ind w:left="2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Cantidad</w:t>
            </w:r>
          </w:p>
          <w:p w:rsidR="003F35BE" w:rsidRDefault="00DE6DE0">
            <w:pPr>
              <w:pStyle w:val="TableParagraph"/>
              <w:spacing w:line="229" w:lineRule="exact"/>
              <w:ind w:left="1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Solicitada</w:t>
            </w:r>
          </w:p>
        </w:tc>
      </w:tr>
      <w:tr w:rsidR="003F35BE">
        <w:trPr>
          <w:trHeight w:val="285"/>
        </w:trPr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line="245" w:lineRule="exact"/>
              <w:ind w:right="5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35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before="36"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TICKETS DE COMBUSTIBLE DE 1,000.00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line="201" w:lineRule="exact"/>
              <w:ind w:left="421" w:right="36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 w:rsidP="002163E9">
            <w:pPr>
              <w:pStyle w:val="TableParagraph"/>
              <w:spacing w:before="36" w:line="228" w:lineRule="exact"/>
              <w:ind w:left="353"/>
              <w:rPr>
                <w:sz w:val="20"/>
              </w:rPr>
            </w:pPr>
            <w:r>
              <w:rPr>
                <w:sz w:val="20"/>
              </w:rPr>
              <w:t>1,</w:t>
            </w:r>
            <w:r w:rsidR="002163E9">
              <w:rPr>
                <w:sz w:val="20"/>
              </w:rPr>
              <w:t>800</w:t>
            </w:r>
          </w:p>
        </w:tc>
      </w:tr>
      <w:tr w:rsidR="003F35BE">
        <w:trPr>
          <w:trHeight w:val="285"/>
        </w:trPr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line="245" w:lineRule="exact"/>
              <w:ind w:right="5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35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>
            <w:pPr>
              <w:pStyle w:val="TableParagraph"/>
              <w:tabs>
                <w:tab w:val="left" w:pos="3231"/>
              </w:tabs>
              <w:spacing w:before="36"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TICKETS 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500.00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line="198" w:lineRule="exact"/>
              <w:ind w:left="413" w:right="3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2163E9" w:rsidP="002163E9">
            <w:pPr>
              <w:pStyle w:val="TableParagraph"/>
              <w:spacing w:before="36" w:line="228" w:lineRule="exact"/>
              <w:ind w:left="353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</w:tr>
      <w:tr w:rsidR="003F35BE">
        <w:trPr>
          <w:trHeight w:val="287"/>
        </w:trPr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line="245" w:lineRule="exact"/>
              <w:ind w:right="5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35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>
            <w:pPr>
              <w:pStyle w:val="TableParagraph"/>
              <w:tabs>
                <w:tab w:val="left" w:pos="3286"/>
              </w:tabs>
              <w:spacing w:before="36"/>
              <w:ind w:left="11"/>
              <w:rPr>
                <w:sz w:val="20"/>
              </w:rPr>
            </w:pPr>
            <w:r>
              <w:rPr>
                <w:sz w:val="20"/>
              </w:rPr>
              <w:t>TICKETS 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200.00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line="196" w:lineRule="exact"/>
              <w:ind w:left="413" w:right="3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2163E9" w:rsidP="002163E9">
            <w:pPr>
              <w:pStyle w:val="TableParagraph"/>
              <w:spacing w:before="36"/>
              <w:ind w:left="353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</w:tr>
      <w:tr w:rsidR="003F35BE">
        <w:trPr>
          <w:trHeight w:val="285"/>
        </w:trPr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3F35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3F35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3F35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3F35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35BE" w:rsidRDefault="00DE6DE0" w:rsidP="002163E9">
      <w:pPr>
        <w:pStyle w:val="Textoindependiente"/>
        <w:tabs>
          <w:tab w:val="left" w:pos="6663"/>
        </w:tabs>
        <w:spacing w:before="66"/>
        <w:ind w:right="3114" w:firstLine="720"/>
        <w:jc w:val="right"/>
      </w:pPr>
      <w:r>
        <w:t xml:space="preserve">La Distribución mensual se realizara de la siguiente </w:t>
      </w:r>
      <w:r w:rsidR="002163E9">
        <w:t>m</w:t>
      </w:r>
      <w:r>
        <w:t>anera:</w:t>
      </w:r>
    </w:p>
    <w:p w:rsidR="003F35BE" w:rsidRDefault="00DE6DE0">
      <w:pPr>
        <w:pStyle w:val="Heading2"/>
        <w:tabs>
          <w:tab w:val="left" w:pos="719"/>
        </w:tabs>
        <w:spacing w:before="109"/>
        <w:ind w:left="0" w:right="3949"/>
        <w:jc w:val="right"/>
      </w:pPr>
      <w:r>
        <w:rPr>
          <w:rFonts w:ascii="Segoe MDL2 Assets" w:hAnsi="Segoe MDL2 Assets"/>
          <w:b w:val="0"/>
        </w:rPr>
        <w:t></w:t>
      </w:r>
      <w:r>
        <w:rPr>
          <w:rFonts w:ascii="Segoe MDL2 Assets" w:hAnsi="Segoe MDL2 Assets"/>
          <w:b w:val="0"/>
        </w:rPr>
        <w:tab/>
      </w:r>
      <w:r>
        <w:t xml:space="preserve">Por los meses desde </w:t>
      </w:r>
      <w:r w:rsidR="00833FBC">
        <w:t>Julio</w:t>
      </w:r>
      <w:r>
        <w:t xml:space="preserve"> a </w:t>
      </w:r>
      <w:r w:rsidR="00833FBC">
        <w:t>Diciembre</w:t>
      </w:r>
      <w:r>
        <w:rPr>
          <w:spacing w:val="-13"/>
        </w:rPr>
        <w:t xml:space="preserve"> </w:t>
      </w:r>
      <w:r>
        <w:t>2019</w:t>
      </w: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1"/>
        <w:gridCol w:w="4351"/>
        <w:gridCol w:w="1125"/>
        <w:gridCol w:w="1190"/>
      </w:tblGrid>
      <w:tr w:rsidR="003F35BE">
        <w:trPr>
          <w:trHeight w:val="562"/>
        </w:trPr>
        <w:tc>
          <w:tcPr>
            <w:tcW w:w="691" w:type="dxa"/>
            <w:tcBorders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before="182"/>
              <w:ind w:left="18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4351" w:type="dxa"/>
            <w:tcBorders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before="182"/>
              <w:ind w:left="1659" w:right="16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before="26"/>
              <w:ind w:right="9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Unidad de</w:t>
            </w:r>
          </w:p>
          <w:p w:rsidR="003F35BE" w:rsidRDefault="00DE6DE0">
            <w:pPr>
              <w:pStyle w:val="TableParagraph"/>
              <w:spacing w:before="63" w:line="223" w:lineRule="exact"/>
              <w:ind w:right="19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Medida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:rsidR="003F35BE" w:rsidRDefault="00DE6DE0">
            <w:pPr>
              <w:pStyle w:val="TableParagraph"/>
              <w:spacing w:before="67" w:line="229" w:lineRule="exact"/>
              <w:ind w:left="2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Cantidad</w:t>
            </w:r>
          </w:p>
          <w:p w:rsidR="003F35BE" w:rsidRDefault="00DE6DE0">
            <w:pPr>
              <w:pStyle w:val="TableParagraph"/>
              <w:spacing w:line="229" w:lineRule="exact"/>
              <w:ind w:left="1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Solicitada</w:t>
            </w:r>
          </w:p>
        </w:tc>
      </w:tr>
      <w:tr w:rsidR="002163E9">
        <w:trPr>
          <w:trHeight w:val="282"/>
        </w:trPr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>
            <w:pPr>
              <w:pStyle w:val="TableParagraph"/>
              <w:spacing w:line="245" w:lineRule="exact"/>
              <w:ind w:right="5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351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>
            <w:pPr>
              <w:pStyle w:val="TableParagraph"/>
              <w:spacing w:before="36" w:line="226" w:lineRule="exact"/>
              <w:ind w:left="11"/>
              <w:rPr>
                <w:sz w:val="20"/>
              </w:rPr>
            </w:pPr>
            <w:r>
              <w:rPr>
                <w:sz w:val="20"/>
              </w:rPr>
              <w:t>TICKETS DE COMBUSTIBLE DE 1,000.00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>
            <w:pPr>
              <w:pStyle w:val="TableParagraph"/>
              <w:spacing w:line="201" w:lineRule="exact"/>
              <w:ind w:left="421" w:right="36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 w:rsidP="00042F8D">
            <w:pPr>
              <w:pStyle w:val="TableParagraph"/>
              <w:spacing w:before="36" w:line="228" w:lineRule="exact"/>
              <w:ind w:left="35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163E9">
        <w:trPr>
          <w:trHeight w:val="285"/>
        </w:trPr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>
            <w:pPr>
              <w:pStyle w:val="TableParagraph"/>
              <w:spacing w:line="245" w:lineRule="exact"/>
              <w:ind w:right="5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351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>
            <w:pPr>
              <w:pStyle w:val="TableParagraph"/>
              <w:tabs>
                <w:tab w:val="left" w:pos="3231"/>
              </w:tabs>
              <w:spacing w:before="36"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TICKETS 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500.00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>
            <w:pPr>
              <w:pStyle w:val="TableParagraph"/>
              <w:spacing w:line="196" w:lineRule="exact"/>
              <w:ind w:left="413" w:right="3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 w:rsidP="00042F8D">
            <w:pPr>
              <w:pStyle w:val="TableParagraph"/>
              <w:spacing w:before="36" w:line="228" w:lineRule="exact"/>
              <w:ind w:left="35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163E9">
        <w:trPr>
          <w:trHeight w:val="285"/>
        </w:trPr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>
            <w:pPr>
              <w:pStyle w:val="TableParagraph"/>
              <w:spacing w:line="245" w:lineRule="exact"/>
              <w:ind w:right="5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351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>
            <w:pPr>
              <w:pStyle w:val="TableParagraph"/>
              <w:tabs>
                <w:tab w:val="left" w:pos="3286"/>
              </w:tabs>
              <w:spacing w:before="36"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TICKETS 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200.00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>
            <w:pPr>
              <w:pStyle w:val="TableParagraph"/>
              <w:spacing w:line="196" w:lineRule="exact"/>
              <w:ind w:left="413" w:right="3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UD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2163E9" w:rsidRDefault="002163E9" w:rsidP="00042F8D">
            <w:pPr>
              <w:pStyle w:val="TableParagraph"/>
              <w:spacing w:before="36"/>
              <w:ind w:left="35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3F35BE">
        <w:trPr>
          <w:trHeight w:val="289"/>
        </w:trPr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3F35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1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DE6DE0" w:rsidP="002163E9">
            <w:pPr>
              <w:pStyle w:val="TableParagraph"/>
              <w:spacing w:before="34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RD$</w:t>
            </w:r>
            <w:r w:rsidR="002163E9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00,000.00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3F35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3F35BE" w:rsidRDefault="003F35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35BE" w:rsidRDefault="003F35BE">
      <w:pPr>
        <w:rPr>
          <w:sz w:val="20"/>
        </w:rPr>
        <w:sectPr w:rsidR="003F35BE">
          <w:pgSz w:w="12240" w:h="15840"/>
          <w:pgMar w:top="960" w:right="880" w:bottom="280" w:left="1300" w:header="720" w:footer="720" w:gutter="0"/>
          <w:cols w:space="720"/>
        </w:sectPr>
      </w:pPr>
    </w:p>
    <w:p w:rsidR="003F35BE" w:rsidRDefault="00DE6DE0" w:rsidP="00833FBC">
      <w:pPr>
        <w:pStyle w:val="Textoindependiente"/>
        <w:spacing w:before="71" w:line="237" w:lineRule="auto"/>
        <w:ind w:left="140" w:right="669"/>
        <w:jc w:val="both"/>
      </w:pPr>
      <w:r>
        <w:lastRenderedPageBreak/>
        <w:t xml:space="preserve">Los interesados en participar deberán entregar su Oferta en el Departamento de Compras de la Superintendencia de Vigilancia y Seguridad Privada, Av. José Conteras No 14 Sector de </w:t>
      </w:r>
      <w:proofErr w:type="spellStart"/>
      <w:r>
        <w:t>Gazcue</w:t>
      </w:r>
      <w:proofErr w:type="spellEnd"/>
      <w:r>
        <w:t>, Santo Domingo D.N, a través del portal Transaccional o enviarlas por el correo de institucional.</w:t>
      </w:r>
    </w:p>
    <w:p w:rsidR="003F35BE" w:rsidRDefault="003F35BE">
      <w:pPr>
        <w:pStyle w:val="Textoindependiente"/>
        <w:spacing w:before="8"/>
        <w:rPr>
          <w:sz w:val="16"/>
        </w:rPr>
      </w:pPr>
    </w:p>
    <w:p w:rsidR="003F35BE" w:rsidRDefault="00DE6DE0">
      <w:pPr>
        <w:pStyle w:val="Prrafodelista"/>
        <w:numPr>
          <w:ilvl w:val="0"/>
          <w:numId w:val="3"/>
        </w:numPr>
        <w:tabs>
          <w:tab w:val="left" w:pos="983"/>
        </w:tabs>
        <w:spacing w:before="91"/>
        <w:ind w:hanging="359"/>
        <w:rPr>
          <w:b/>
          <w:sz w:val="24"/>
        </w:rPr>
      </w:pPr>
      <w:r>
        <w:rPr>
          <w:b/>
          <w:color w:val="0000FF"/>
          <w:spacing w:val="-80"/>
          <w:sz w:val="24"/>
          <w:u w:val="thick" w:color="0000FF"/>
        </w:rPr>
        <w:t>f</w:t>
      </w:r>
      <w:r>
        <w:rPr>
          <w:b/>
          <w:color w:val="0000FF"/>
          <w:spacing w:val="25"/>
          <w:sz w:val="24"/>
        </w:rPr>
        <w:t xml:space="preserve"> </w:t>
      </w:r>
      <w:hyperlink r:id="rId6">
        <w:r>
          <w:rPr>
            <w:b/>
            <w:color w:val="0000FF"/>
            <w:sz w:val="24"/>
            <w:u w:val="thick" w:color="0000FF"/>
          </w:rPr>
          <w:t>garcia@ssp.mil.do</w:t>
        </w:r>
      </w:hyperlink>
    </w:p>
    <w:p w:rsidR="003F35BE" w:rsidRDefault="003F35BE">
      <w:pPr>
        <w:pStyle w:val="Textoindependiente"/>
        <w:spacing w:before="4"/>
        <w:rPr>
          <w:b/>
          <w:sz w:val="15"/>
        </w:rPr>
      </w:pPr>
    </w:p>
    <w:p w:rsidR="003F35BE" w:rsidRDefault="00DE6DE0">
      <w:pPr>
        <w:pStyle w:val="Textoindependiente"/>
        <w:spacing w:before="90"/>
        <w:ind w:left="140" w:right="582"/>
      </w:pPr>
      <w:r>
        <w:t>Para</w:t>
      </w:r>
      <w:r>
        <w:rPr>
          <w:spacing w:val="-1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Oferentes/Proponentes</w:t>
      </w:r>
      <w:r>
        <w:rPr>
          <w:spacing w:val="-10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elegibles</w:t>
      </w:r>
      <w:r>
        <w:rPr>
          <w:spacing w:val="-9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evaluar</w:t>
      </w:r>
      <w:r>
        <w:rPr>
          <w:spacing w:val="-14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oferta</w:t>
      </w:r>
      <w:r>
        <w:rPr>
          <w:spacing w:val="-14"/>
        </w:rPr>
        <w:t xml:space="preserve"> </w:t>
      </w:r>
      <w:r>
        <w:t>económica</w:t>
      </w:r>
      <w:r>
        <w:rPr>
          <w:spacing w:val="-16"/>
        </w:rPr>
        <w:t xml:space="preserve"> </w:t>
      </w:r>
      <w:r>
        <w:t>deberán cumplir los siguientes</w:t>
      </w:r>
      <w:r>
        <w:rPr>
          <w:spacing w:val="-6"/>
        </w:rPr>
        <w:t xml:space="preserve"> </w:t>
      </w:r>
      <w:r>
        <w:t>requisitos:</w:t>
      </w:r>
    </w:p>
    <w:p w:rsidR="003F35BE" w:rsidRDefault="003F35BE">
      <w:pPr>
        <w:pStyle w:val="Textoindependiente"/>
        <w:spacing w:before="9"/>
      </w:pPr>
    </w:p>
    <w:p w:rsidR="003F35BE" w:rsidRDefault="00DE6DE0">
      <w:pPr>
        <w:pStyle w:val="Heading2"/>
        <w:numPr>
          <w:ilvl w:val="0"/>
          <w:numId w:val="2"/>
        </w:numPr>
        <w:tabs>
          <w:tab w:val="left" w:pos="1219"/>
          <w:tab w:val="left" w:pos="1220"/>
        </w:tabs>
        <w:spacing w:before="1"/>
        <w:ind w:right="833"/>
      </w:pPr>
      <w:r>
        <w:t>Formulario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(SNCC.F.034)</w:t>
      </w:r>
      <w:r>
        <w:rPr>
          <w:spacing w:val="-2"/>
        </w:rPr>
        <w:t xml:space="preserve"> </w:t>
      </w:r>
      <w:r>
        <w:t>(deben</w:t>
      </w:r>
      <w:r>
        <w:rPr>
          <w:spacing w:val="-5"/>
        </w:rPr>
        <w:t xml:space="preserve"> </w:t>
      </w:r>
      <w:r>
        <w:t>especificar</w:t>
      </w:r>
      <w:r>
        <w:rPr>
          <w:spacing w:val="-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bien solicitado) o una</w:t>
      </w:r>
      <w:r>
        <w:rPr>
          <w:spacing w:val="-4"/>
        </w:rPr>
        <w:t xml:space="preserve"> </w:t>
      </w:r>
      <w:r>
        <w:t>cotización.</w:t>
      </w:r>
    </w:p>
    <w:p w:rsidR="003F35BE" w:rsidRDefault="00DE6DE0">
      <w:pPr>
        <w:pStyle w:val="Prrafodelista"/>
        <w:numPr>
          <w:ilvl w:val="0"/>
          <w:numId w:val="2"/>
        </w:numPr>
        <w:tabs>
          <w:tab w:val="left" w:pos="1222"/>
          <w:tab w:val="left" w:pos="1223"/>
        </w:tabs>
        <w:spacing w:line="274" w:lineRule="exact"/>
        <w:ind w:left="1222" w:hanging="366"/>
        <w:rPr>
          <w:b/>
          <w:sz w:val="24"/>
        </w:rPr>
      </w:pPr>
      <w:r>
        <w:rPr>
          <w:b/>
          <w:sz w:val="24"/>
        </w:rPr>
        <w:t>Formulario de Información sobre el Oferente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(SNCC.F.042)</w:t>
      </w:r>
    </w:p>
    <w:p w:rsidR="003F35BE" w:rsidRDefault="00DE6DE0">
      <w:pPr>
        <w:pStyle w:val="Prrafodelista"/>
        <w:numPr>
          <w:ilvl w:val="0"/>
          <w:numId w:val="2"/>
        </w:numPr>
        <w:tabs>
          <w:tab w:val="left" w:pos="1222"/>
          <w:tab w:val="left" w:pos="1223"/>
        </w:tabs>
        <w:spacing w:before="2" w:line="272" w:lineRule="exact"/>
        <w:ind w:left="1222" w:hanging="366"/>
        <w:rPr>
          <w:b/>
          <w:sz w:val="24"/>
        </w:rPr>
      </w:pPr>
      <w:r>
        <w:rPr>
          <w:b/>
          <w:sz w:val="24"/>
        </w:rPr>
        <w:t>Especificaciones Técnicas. Servicios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ofertados</w:t>
      </w:r>
    </w:p>
    <w:p w:rsidR="003F35BE" w:rsidRDefault="00DE6DE0">
      <w:pPr>
        <w:pStyle w:val="Prrafodelista"/>
        <w:numPr>
          <w:ilvl w:val="0"/>
          <w:numId w:val="2"/>
        </w:numPr>
        <w:tabs>
          <w:tab w:val="left" w:pos="1219"/>
          <w:tab w:val="left" w:pos="1220"/>
        </w:tabs>
        <w:spacing w:before="3" w:line="232" w:lineRule="auto"/>
        <w:ind w:right="950"/>
        <w:rPr>
          <w:sz w:val="24"/>
        </w:rPr>
      </w:pPr>
      <w:r>
        <w:rPr>
          <w:b/>
          <w:sz w:val="24"/>
        </w:rPr>
        <w:t xml:space="preserve">Registro de Proveedores del Estado (RPE), </w:t>
      </w:r>
      <w:r>
        <w:rPr>
          <w:sz w:val="24"/>
        </w:rPr>
        <w:t>emitido por la Dirección General</w:t>
      </w:r>
      <w:r>
        <w:rPr>
          <w:spacing w:val="-33"/>
          <w:sz w:val="24"/>
        </w:rPr>
        <w:t xml:space="preserve"> </w:t>
      </w:r>
      <w:r>
        <w:rPr>
          <w:sz w:val="24"/>
        </w:rPr>
        <w:t>de Contrataciones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Públicas.</w:t>
      </w:r>
    </w:p>
    <w:p w:rsidR="003F35BE" w:rsidRDefault="00DE6DE0">
      <w:pPr>
        <w:pStyle w:val="Heading2"/>
        <w:numPr>
          <w:ilvl w:val="0"/>
          <w:numId w:val="2"/>
        </w:numPr>
        <w:tabs>
          <w:tab w:val="left" w:pos="1222"/>
          <w:tab w:val="left" w:pos="1223"/>
        </w:tabs>
        <w:spacing w:before="20"/>
        <w:ind w:left="1222" w:hanging="366"/>
      </w:pPr>
      <w:r>
        <w:t>Registro de</w:t>
      </w:r>
      <w:r>
        <w:rPr>
          <w:spacing w:val="-7"/>
        </w:rPr>
        <w:t xml:space="preserve"> </w:t>
      </w:r>
      <w:r>
        <w:t>Beneficiario</w:t>
      </w:r>
    </w:p>
    <w:p w:rsidR="003F35BE" w:rsidRDefault="00DE6DE0">
      <w:pPr>
        <w:pStyle w:val="Prrafodelista"/>
        <w:numPr>
          <w:ilvl w:val="0"/>
          <w:numId w:val="2"/>
        </w:numPr>
        <w:tabs>
          <w:tab w:val="left" w:pos="1222"/>
          <w:tab w:val="left" w:pos="1223"/>
        </w:tabs>
        <w:ind w:left="1222" w:hanging="366"/>
        <w:rPr>
          <w:b/>
          <w:sz w:val="24"/>
        </w:rPr>
      </w:pPr>
      <w:r>
        <w:rPr>
          <w:b/>
          <w:sz w:val="24"/>
        </w:rPr>
        <w:t>Estatutos Sociales 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Oferente/Proponente.</w:t>
      </w:r>
    </w:p>
    <w:p w:rsidR="003F35BE" w:rsidRDefault="00DE6DE0">
      <w:pPr>
        <w:pStyle w:val="Prrafodelista"/>
        <w:numPr>
          <w:ilvl w:val="0"/>
          <w:numId w:val="2"/>
        </w:numPr>
        <w:tabs>
          <w:tab w:val="left" w:pos="1220"/>
        </w:tabs>
        <w:spacing w:before="16" w:line="225" w:lineRule="auto"/>
        <w:ind w:right="577"/>
        <w:jc w:val="both"/>
        <w:rPr>
          <w:sz w:val="24"/>
        </w:rPr>
      </w:pPr>
      <w:r>
        <w:rPr>
          <w:b/>
          <w:sz w:val="24"/>
        </w:rPr>
        <w:t xml:space="preserve">Certificación emitida por la Dirección General de Impuestos Internos (DGII), </w:t>
      </w:r>
      <w:r>
        <w:rPr>
          <w:sz w:val="24"/>
        </w:rPr>
        <w:t>donde se manifieste que el Oferente se encuentra al día en el pago de sus obligaciones fiscales.</w:t>
      </w:r>
    </w:p>
    <w:p w:rsidR="003F35BE" w:rsidRDefault="00DE6DE0">
      <w:pPr>
        <w:pStyle w:val="Prrafodelista"/>
        <w:numPr>
          <w:ilvl w:val="0"/>
          <w:numId w:val="2"/>
        </w:numPr>
        <w:tabs>
          <w:tab w:val="left" w:pos="1220"/>
        </w:tabs>
        <w:spacing w:before="7"/>
        <w:ind w:right="549"/>
        <w:jc w:val="both"/>
        <w:rPr>
          <w:sz w:val="24"/>
        </w:rPr>
      </w:pPr>
      <w:r>
        <w:rPr>
          <w:b/>
          <w:sz w:val="24"/>
        </w:rPr>
        <w:t xml:space="preserve">Certificación emitida por la Tesorería de la Seguridad </w:t>
      </w:r>
      <w:r>
        <w:rPr>
          <w:b/>
          <w:spacing w:val="2"/>
          <w:sz w:val="24"/>
        </w:rPr>
        <w:t>Social</w:t>
      </w:r>
      <w:r>
        <w:rPr>
          <w:spacing w:val="2"/>
          <w:sz w:val="24"/>
        </w:rPr>
        <w:t xml:space="preserve">, </w:t>
      </w:r>
      <w:r>
        <w:rPr>
          <w:sz w:val="24"/>
        </w:rPr>
        <w:t xml:space="preserve">donde se manifieste que el Oferente </w:t>
      </w:r>
      <w:r>
        <w:rPr>
          <w:spacing w:val="2"/>
          <w:sz w:val="24"/>
        </w:rPr>
        <w:t xml:space="preserve">se </w:t>
      </w:r>
      <w:r>
        <w:rPr>
          <w:sz w:val="24"/>
        </w:rPr>
        <w:t>encuentra al día en el pago de sus obligaciones de la Seguridad Social.</w:t>
      </w:r>
    </w:p>
    <w:p w:rsidR="003F35BE" w:rsidRDefault="00DE6DE0">
      <w:pPr>
        <w:pStyle w:val="Prrafodelista"/>
        <w:numPr>
          <w:ilvl w:val="0"/>
          <w:numId w:val="2"/>
        </w:numPr>
        <w:tabs>
          <w:tab w:val="left" w:pos="1222"/>
          <w:tab w:val="left" w:pos="1223"/>
        </w:tabs>
        <w:ind w:left="1222" w:hanging="366"/>
        <w:rPr>
          <w:sz w:val="24"/>
        </w:rPr>
      </w:pP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Mercantil.</w:t>
      </w:r>
    </w:p>
    <w:p w:rsidR="003F35BE" w:rsidRDefault="00DE6DE0">
      <w:pPr>
        <w:pStyle w:val="Prrafodelista"/>
        <w:numPr>
          <w:ilvl w:val="0"/>
          <w:numId w:val="2"/>
        </w:numPr>
        <w:tabs>
          <w:tab w:val="left" w:pos="1223"/>
        </w:tabs>
        <w:ind w:left="1222" w:hanging="366"/>
        <w:rPr>
          <w:sz w:val="24"/>
        </w:rPr>
      </w:pPr>
      <w:r>
        <w:rPr>
          <w:sz w:val="24"/>
        </w:rPr>
        <w:t>Estados</w:t>
      </w:r>
      <w:r>
        <w:rPr>
          <w:spacing w:val="-4"/>
          <w:sz w:val="24"/>
        </w:rPr>
        <w:t xml:space="preserve"> </w:t>
      </w:r>
      <w:r>
        <w:rPr>
          <w:sz w:val="24"/>
        </w:rPr>
        <w:t>financieros.</w:t>
      </w:r>
    </w:p>
    <w:p w:rsidR="003F35BE" w:rsidRDefault="00DE6DE0">
      <w:pPr>
        <w:pStyle w:val="Prrafodelista"/>
        <w:numPr>
          <w:ilvl w:val="0"/>
          <w:numId w:val="2"/>
        </w:numPr>
        <w:tabs>
          <w:tab w:val="left" w:pos="1223"/>
        </w:tabs>
        <w:spacing w:before="72"/>
        <w:ind w:left="1222" w:hanging="366"/>
        <w:rPr>
          <w:sz w:val="24"/>
        </w:rPr>
      </w:pPr>
      <w:r>
        <w:rPr>
          <w:sz w:val="24"/>
        </w:rPr>
        <w:t>Se le adjudicara al proveedor que oferten todos los</w:t>
      </w:r>
      <w:r>
        <w:rPr>
          <w:spacing w:val="-24"/>
          <w:sz w:val="24"/>
        </w:rPr>
        <w:t xml:space="preserve"> </w:t>
      </w:r>
      <w:r>
        <w:rPr>
          <w:sz w:val="24"/>
        </w:rPr>
        <w:t>artículos.</w:t>
      </w:r>
    </w:p>
    <w:p w:rsidR="003F35BE" w:rsidRDefault="003F35BE">
      <w:pPr>
        <w:pStyle w:val="Textoindependiente"/>
        <w:rPr>
          <w:sz w:val="26"/>
        </w:rPr>
      </w:pPr>
    </w:p>
    <w:p w:rsidR="003F35BE" w:rsidRDefault="00DE6DE0">
      <w:pPr>
        <w:pStyle w:val="Heading2"/>
        <w:spacing w:before="227" w:line="274" w:lineRule="exact"/>
        <w:jc w:val="both"/>
      </w:pPr>
      <w:r>
        <w:t>Evaluación de Ofertas Económicas:</w:t>
      </w:r>
    </w:p>
    <w:p w:rsidR="003F35BE" w:rsidRDefault="00DE6DE0">
      <w:pPr>
        <w:pStyle w:val="Textoindependiente"/>
        <w:spacing w:line="237" w:lineRule="auto"/>
        <w:ind w:left="140" w:right="578"/>
        <w:jc w:val="both"/>
      </w:pPr>
      <w:r>
        <w:t>Solo serán evaluadas las Ofertas Económicas de los Oferentes/Proponentes que hayan resultado como elegibles, de acuerdo a la evaluación de los documentos solicitados en la presente convocatoria.</w:t>
      </w:r>
    </w:p>
    <w:p w:rsidR="003F35BE" w:rsidRDefault="003F35BE">
      <w:pPr>
        <w:pStyle w:val="Textoindependiente"/>
        <w:spacing w:before="5"/>
        <w:rPr>
          <w:sz w:val="23"/>
        </w:rPr>
      </w:pPr>
    </w:p>
    <w:p w:rsidR="003F35BE" w:rsidRDefault="00DE6DE0" w:rsidP="00833FBC">
      <w:pPr>
        <w:pStyle w:val="Textoindependiente"/>
        <w:ind w:left="140" w:right="582"/>
        <w:jc w:val="both"/>
      </w:pPr>
      <w:r>
        <w:t>Solo pasaran a la comparación de los precios, los artículos que cumplan con las especificaciones técnicas mínimas, establecidas por el Instituto de Altos Estudios para Defensa y Seguridad.</w:t>
      </w:r>
    </w:p>
    <w:p w:rsidR="003F35BE" w:rsidRDefault="003F35BE">
      <w:pPr>
        <w:pStyle w:val="Textoindependiente"/>
      </w:pPr>
    </w:p>
    <w:p w:rsidR="003F35BE" w:rsidRDefault="00DE6DE0">
      <w:pPr>
        <w:pStyle w:val="Heading2"/>
        <w:rPr>
          <w:b w:val="0"/>
        </w:rPr>
      </w:pPr>
      <w:r>
        <w:t>Adjudicación</w:t>
      </w:r>
      <w:r>
        <w:rPr>
          <w:b w:val="0"/>
        </w:rPr>
        <w:t>:</w:t>
      </w:r>
    </w:p>
    <w:p w:rsidR="003F35BE" w:rsidRDefault="00DE6DE0">
      <w:pPr>
        <w:pStyle w:val="Textoindependiente"/>
        <w:spacing w:before="3"/>
        <w:ind w:left="140" w:right="556"/>
        <w:jc w:val="both"/>
      </w:pPr>
      <w:r>
        <w:t>El Departamento</w:t>
      </w:r>
      <w:r w:rsidR="00833FBC">
        <w:t xml:space="preserve"> </w:t>
      </w:r>
      <w:r>
        <w:t>de Compras de la Superintendencia de Vigilancia</w:t>
      </w:r>
      <w:r>
        <w:rPr>
          <w:spacing w:val="51"/>
        </w:rPr>
        <w:t xml:space="preserve"> </w:t>
      </w:r>
      <w:r>
        <w:t>y Seguridad</w:t>
      </w:r>
      <w:r>
        <w:rPr>
          <w:spacing w:val="55"/>
        </w:rPr>
        <w:t xml:space="preserve"> </w:t>
      </w:r>
      <w:r>
        <w:t>Privada, solo</w:t>
      </w:r>
      <w:r>
        <w:rPr>
          <w:spacing w:val="2"/>
        </w:rPr>
        <w:t xml:space="preserve"> </w:t>
      </w:r>
      <w:r>
        <w:t>adjudicara  a</w:t>
      </w:r>
      <w:r>
        <w:rPr>
          <w:spacing w:val="57"/>
        </w:rPr>
        <w:t xml:space="preserve"> </w:t>
      </w:r>
      <w:r>
        <w:t>los  Oferentes/Proponentes</w:t>
      </w:r>
      <w:r>
        <w:rPr>
          <w:spacing w:val="2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 xml:space="preserve">hayan  cumplido con todas las condiciones fijadas en la presente convocatoria y que presenten las propiedades  que cumplan con las especificaciones técnicas mínimas requeridas resulten más convenientes para </w:t>
      </w:r>
      <w:r>
        <w:rPr>
          <w:spacing w:val="2"/>
        </w:rPr>
        <w:t xml:space="preserve">la </w:t>
      </w:r>
      <w:r>
        <w:t>institución atendiendo a su calidad y garantía</w:t>
      </w:r>
      <w:r>
        <w:rPr>
          <w:spacing w:val="-42"/>
        </w:rPr>
        <w:t xml:space="preserve"> </w:t>
      </w:r>
      <w:r>
        <w:t>ofertada.</w:t>
      </w:r>
    </w:p>
    <w:p w:rsidR="003F35BE" w:rsidRDefault="003F35BE">
      <w:pPr>
        <w:pStyle w:val="Textoindependiente"/>
        <w:spacing w:before="8"/>
        <w:rPr>
          <w:sz w:val="17"/>
        </w:rPr>
      </w:pPr>
    </w:p>
    <w:p w:rsidR="00833FBC" w:rsidRDefault="00833FBC">
      <w:pPr>
        <w:pStyle w:val="Textoindependiente"/>
        <w:spacing w:before="8"/>
        <w:rPr>
          <w:sz w:val="17"/>
        </w:rPr>
      </w:pPr>
    </w:p>
    <w:p w:rsidR="00833FBC" w:rsidRDefault="00833FBC">
      <w:pPr>
        <w:pStyle w:val="Textoindependiente"/>
        <w:spacing w:before="8"/>
        <w:rPr>
          <w:sz w:val="17"/>
        </w:rPr>
      </w:pPr>
    </w:p>
    <w:p w:rsidR="00833FBC" w:rsidRDefault="00833FBC">
      <w:pPr>
        <w:pStyle w:val="Textoindependiente"/>
        <w:spacing w:before="8"/>
        <w:rPr>
          <w:sz w:val="17"/>
        </w:rPr>
      </w:pPr>
    </w:p>
    <w:p w:rsidR="00833FBC" w:rsidRDefault="00833FBC">
      <w:pPr>
        <w:pStyle w:val="Textoindependiente"/>
        <w:spacing w:before="8"/>
        <w:rPr>
          <w:sz w:val="17"/>
        </w:rPr>
      </w:pPr>
    </w:p>
    <w:p w:rsidR="00833FBC" w:rsidRDefault="00833FBC">
      <w:pPr>
        <w:pStyle w:val="Textoindependiente"/>
        <w:spacing w:before="8"/>
        <w:rPr>
          <w:sz w:val="17"/>
        </w:rPr>
      </w:pPr>
    </w:p>
    <w:p w:rsidR="002163E9" w:rsidRDefault="002163E9">
      <w:pPr>
        <w:pStyle w:val="Textoindependiente"/>
        <w:spacing w:before="8"/>
        <w:rPr>
          <w:sz w:val="17"/>
        </w:rPr>
      </w:pPr>
    </w:p>
    <w:p w:rsidR="00833FBC" w:rsidRDefault="00833FBC">
      <w:pPr>
        <w:pStyle w:val="Textoindependiente"/>
        <w:spacing w:before="8"/>
        <w:rPr>
          <w:sz w:val="17"/>
        </w:rPr>
      </w:pPr>
    </w:p>
    <w:p w:rsidR="00833FBC" w:rsidRDefault="00833FBC">
      <w:pPr>
        <w:pStyle w:val="Textoindependiente"/>
        <w:spacing w:before="8"/>
        <w:rPr>
          <w:sz w:val="17"/>
        </w:rPr>
      </w:pPr>
    </w:p>
    <w:p w:rsidR="003F35BE" w:rsidRDefault="00DE6DE0">
      <w:pPr>
        <w:pStyle w:val="Heading2"/>
        <w:spacing w:before="89"/>
      </w:pPr>
      <w:r>
        <w:rPr>
          <w:spacing w:val="-160"/>
          <w:u w:val="thick"/>
        </w:rPr>
        <w:lastRenderedPageBreak/>
        <w:t>T</w:t>
      </w:r>
      <w:r>
        <w:rPr>
          <w:spacing w:val="102"/>
        </w:rPr>
        <w:t xml:space="preserve"> </w:t>
      </w:r>
      <w:r>
        <w:rPr>
          <w:u w:val="thick"/>
        </w:rPr>
        <w:t>ERMINOS Y CONDICIONES</w:t>
      </w:r>
    </w:p>
    <w:p w:rsidR="003F35BE" w:rsidRDefault="003F35BE">
      <w:pPr>
        <w:pStyle w:val="Textoindependiente"/>
        <w:spacing w:before="6"/>
        <w:rPr>
          <w:b/>
          <w:sz w:val="14"/>
        </w:rPr>
      </w:pPr>
    </w:p>
    <w:p w:rsidR="003F35BE" w:rsidRDefault="00DE6DE0" w:rsidP="00833FBC">
      <w:pPr>
        <w:pStyle w:val="Textoindependiente"/>
        <w:spacing w:before="90"/>
        <w:ind w:left="140" w:right="582"/>
        <w:jc w:val="both"/>
      </w:pPr>
      <w:r>
        <w:t>1.- Los oferentes deberían presentar ofertas si cumplen con la totalidad del requerimiento, por lo que, las ofertas incompletas serán descalificadas.</w:t>
      </w:r>
    </w:p>
    <w:p w:rsidR="003F35BE" w:rsidRDefault="003F35BE">
      <w:pPr>
        <w:pStyle w:val="Textoindependiente"/>
        <w:spacing w:before="10"/>
        <w:rPr>
          <w:sz w:val="14"/>
        </w:rPr>
      </w:pPr>
    </w:p>
    <w:p w:rsidR="003F35BE" w:rsidRDefault="00DE6DE0" w:rsidP="00833FBC">
      <w:pPr>
        <w:pStyle w:val="Textoindependiente"/>
        <w:spacing w:before="89"/>
        <w:ind w:left="140" w:right="582"/>
        <w:jc w:val="both"/>
      </w:pPr>
      <w:r>
        <w:t>2.- Los oferentes deberán tener transporte incluido en su oferta, a los fines de poder distribuir los requerimientos, en el lugar de entrega, acorde al cronograma.</w:t>
      </w:r>
    </w:p>
    <w:p w:rsidR="003F35BE" w:rsidRDefault="003F35BE">
      <w:pPr>
        <w:pStyle w:val="Textoindependiente"/>
        <w:spacing w:before="2"/>
        <w:rPr>
          <w:sz w:val="23"/>
        </w:rPr>
      </w:pPr>
    </w:p>
    <w:p w:rsidR="003F35BE" w:rsidRDefault="00DE6DE0" w:rsidP="00833FBC">
      <w:pPr>
        <w:pStyle w:val="Textoindependiente"/>
        <w:ind w:left="140"/>
      </w:pPr>
      <w:r>
        <w:t>3.- Se deberán presentar catálogos del bien conjuntamente con la oferta de los requerimientos.</w:t>
      </w:r>
    </w:p>
    <w:p w:rsidR="003F35BE" w:rsidRDefault="00DE6DE0">
      <w:pPr>
        <w:pStyle w:val="Textoindependiente"/>
        <w:ind w:left="140" w:right="431"/>
      </w:pPr>
      <w:r>
        <w:t>La empresa adjudicataria deberá presentar los siguientes documentos para fines de contrato luego de realizada la notificación de adjudicación.</w:t>
      </w:r>
    </w:p>
    <w:p w:rsidR="003F35BE" w:rsidRDefault="003F35BE">
      <w:pPr>
        <w:pStyle w:val="Textoindependiente"/>
        <w:rPr>
          <w:sz w:val="29"/>
        </w:rPr>
      </w:pPr>
    </w:p>
    <w:p w:rsidR="003F35BE" w:rsidRDefault="00DE6DE0" w:rsidP="00833FBC">
      <w:pPr>
        <w:pStyle w:val="Textoindependiente"/>
        <w:spacing w:line="237" w:lineRule="auto"/>
        <w:ind w:left="140" w:right="669"/>
        <w:jc w:val="both"/>
      </w:pPr>
      <w:r>
        <w:t>4.- La empresa adjudicataria al concluir con la entrega del bien emitirá una factura con comprobante gubernamental, a los fines de tramitar el pago.</w:t>
      </w:r>
    </w:p>
    <w:p w:rsidR="003F35BE" w:rsidRDefault="003F35BE">
      <w:pPr>
        <w:pStyle w:val="Textoindependiente"/>
        <w:spacing w:before="3"/>
        <w:rPr>
          <w:sz w:val="23"/>
        </w:rPr>
      </w:pPr>
    </w:p>
    <w:p w:rsidR="003F35BE" w:rsidRDefault="00DE6DE0" w:rsidP="00833FBC">
      <w:pPr>
        <w:pStyle w:val="Textoindependiente"/>
        <w:ind w:left="140" w:right="669"/>
        <w:jc w:val="both"/>
      </w:pPr>
      <w:r>
        <w:t>5.- Los pagos se realizan según las cuotas asignadas por la Dirección General de Presupuesto. Las obligaciones fiscales deben estar actualizadas al momento de realizar el pago.</w:t>
      </w:r>
    </w:p>
    <w:p w:rsidR="003F35BE" w:rsidRDefault="003F35BE">
      <w:pPr>
        <w:pStyle w:val="Textoindependiente"/>
        <w:spacing w:before="3"/>
      </w:pPr>
    </w:p>
    <w:p w:rsidR="003F35BE" w:rsidRDefault="00DE6DE0" w:rsidP="00833FBC">
      <w:pPr>
        <w:pStyle w:val="Textoindependiente"/>
        <w:ind w:left="140" w:right="669"/>
        <w:jc w:val="both"/>
      </w:pPr>
      <w:r>
        <w:t>6.- Los pagos se realizarán por transferencia, por lo que deben encontrarse registrados como beneficiario en la Dirección General de Contrataciones Públicas.</w:t>
      </w:r>
    </w:p>
    <w:p w:rsidR="003F35BE" w:rsidRDefault="003F35BE">
      <w:pPr>
        <w:pStyle w:val="Textoindependiente"/>
        <w:spacing w:before="4"/>
      </w:pPr>
    </w:p>
    <w:p w:rsidR="003F35BE" w:rsidRDefault="00DE6DE0">
      <w:pPr>
        <w:pStyle w:val="Textoindependiente"/>
        <w:spacing w:before="1"/>
        <w:ind w:left="140"/>
      </w:pPr>
      <w:r>
        <w:t>7.- Las preguntas deben ser realizadas por escrito o a través de nuestro correo electrónico</w:t>
      </w:r>
    </w:p>
    <w:p w:rsidR="003F35BE" w:rsidRPr="00DE6DE0" w:rsidRDefault="00DE6DE0">
      <w:pPr>
        <w:spacing w:before="12"/>
        <w:ind w:left="152"/>
        <w:rPr>
          <w:b/>
          <w:sz w:val="24"/>
          <w:lang w:val="en-US"/>
        </w:rPr>
      </w:pPr>
      <w:proofErr w:type="gramStart"/>
      <w:r w:rsidRPr="00DE6DE0">
        <w:rPr>
          <w:b/>
          <w:color w:val="0000FF"/>
          <w:spacing w:val="-80"/>
          <w:sz w:val="24"/>
          <w:u w:val="thick" w:color="006EBF"/>
          <w:lang w:val="en-US"/>
        </w:rPr>
        <w:t>f</w:t>
      </w:r>
      <w:proofErr w:type="gramEnd"/>
      <w:r w:rsidRPr="00DE6DE0">
        <w:rPr>
          <w:b/>
          <w:color w:val="0000FF"/>
          <w:spacing w:val="24"/>
          <w:sz w:val="24"/>
          <w:lang w:val="en-US"/>
        </w:rPr>
        <w:t xml:space="preserve"> </w:t>
      </w:r>
      <w:hyperlink r:id="rId7">
        <w:r w:rsidRPr="00DE6DE0">
          <w:rPr>
            <w:b/>
            <w:color w:val="0000FF"/>
            <w:sz w:val="24"/>
            <w:u w:val="thick" w:color="006EBF"/>
            <w:lang w:val="en-US"/>
          </w:rPr>
          <w:t>garcia@ssp.mil.do</w:t>
        </w:r>
      </w:hyperlink>
    </w:p>
    <w:p w:rsidR="003F35BE" w:rsidRPr="00DE6DE0" w:rsidRDefault="003F35BE">
      <w:pPr>
        <w:pStyle w:val="Textoindependiente"/>
        <w:spacing w:before="11"/>
        <w:rPr>
          <w:b/>
          <w:sz w:val="14"/>
          <w:lang w:val="en-US"/>
        </w:rPr>
      </w:pPr>
    </w:p>
    <w:p w:rsidR="003F35BE" w:rsidRDefault="00DE6DE0">
      <w:pPr>
        <w:pStyle w:val="Textoindependiente"/>
        <w:spacing w:before="90"/>
        <w:ind w:left="140" w:right="669"/>
      </w:pPr>
      <w:r>
        <w:t>Las ofertas que no cumplan estrictamente con las especificaciones serán descartadas sin más trámite.</w:t>
      </w:r>
    </w:p>
    <w:p w:rsidR="003F35BE" w:rsidRDefault="003F35BE">
      <w:pPr>
        <w:pStyle w:val="Textoindependiente"/>
        <w:spacing w:before="11"/>
        <w:rPr>
          <w:sz w:val="23"/>
        </w:rPr>
      </w:pPr>
    </w:p>
    <w:p w:rsidR="003F35BE" w:rsidRDefault="00DE6DE0">
      <w:pPr>
        <w:pStyle w:val="Textoindependiente"/>
        <w:ind w:left="140" w:right="431"/>
      </w:pPr>
      <w:r>
        <w:t>8.- El Proponente deberá estar legalmente autorizado para realizar sus actividades comerciales en el país y el Rubro presentado en su RPE coincide con el objeto contractual de este proceso.</w:t>
      </w:r>
    </w:p>
    <w:p w:rsidR="003F35BE" w:rsidRDefault="003F35BE">
      <w:pPr>
        <w:pStyle w:val="Textoindependiente"/>
        <w:spacing w:before="10"/>
        <w:rPr>
          <w:sz w:val="17"/>
        </w:rPr>
      </w:pPr>
    </w:p>
    <w:p w:rsidR="003F35BE" w:rsidRDefault="00DE6DE0">
      <w:pPr>
        <w:pStyle w:val="Heading2"/>
        <w:spacing w:before="90"/>
      </w:pPr>
      <w:r>
        <w:rPr>
          <w:spacing w:val="-173"/>
          <w:u w:val="thick"/>
        </w:rPr>
        <w:t>D</w:t>
      </w:r>
      <w:r>
        <w:rPr>
          <w:spacing w:val="115"/>
        </w:rPr>
        <w:t xml:space="preserve"> </w:t>
      </w:r>
      <w:r>
        <w:rPr>
          <w:u w:val="thick"/>
        </w:rPr>
        <w:t>OCUMENTOS A PRESENTAR</w:t>
      </w:r>
    </w:p>
    <w:p w:rsidR="003F35BE" w:rsidRDefault="00DE6DE0">
      <w:pPr>
        <w:pStyle w:val="Prrafodelista"/>
        <w:numPr>
          <w:ilvl w:val="0"/>
          <w:numId w:val="1"/>
        </w:numPr>
        <w:tabs>
          <w:tab w:val="left" w:pos="532"/>
        </w:tabs>
        <w:spacing w:before="168"/>
        <w:ind w:right="1905" w:hanging="361"/>
        <w:rPr>
          <w:sz w:val="24"/>
        </w:rPr>
      </w:pPr>
      <w:r>
        <w:rPr>
          <w:sz w:val="24"/>
        </w:rPr>
        <w:t>Registro de Proveedores del Estado (RPE), emitido por la Dirección General</w:t>
      </w:r>
      <w:r>
        <w:rPr>
          <w:spacing w:val="-43"/>
          <w:sz w:val="24"/>
        </w:rPr>
        <w:t xml:space="preserve"> </w:t>
      </w:r>
      <w:r>
        <w:rPr>
          <w:sz w:val="24"/>
        </w:rPr>
        <w:t>de Contrataciones</w:t>
      </w:r>
      <w:r>
        <w:rPr>
          <w:spacing w:val="-9"/>
          <w:sz w:val="24"/>
        </w:rPr>
        <w:t xml:space="preserve"> </w:t>
      </w:r>
      <w:r>
        <w:rPr>
          <w:sz w:val="24"/>
        </w:rPr>
        <w:t>Públicas.</w:t>
      </w:r>
    </w:p>
    <w:p w:rsidR="003F35BE" w:rsidRDefault="00DE6DE0">
      <w:pPr>
        <w:pStyle w:val="Prrafodelista"/>
        <w:numPr>
          <w:ilvl w:val="0"/>
          <w:numId w:val="1"/>
        </w:numPr>
        <w:tabs>
          <w:tab w:val="left" w:pos="532"/>
        </w:tabs>
        <w:ind w:left="531" w:hanging="330"/>
        <w:rPr>
          <w:sz w:val="24"/>
        </w:rPr>
      </w:pPr>
      <w:r>
        <w:rPr>
          <w:sz w:val="24"/>
        </w:rPr>
        <w:t>Registro de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Beneficiario</w:t>
      </w:r>
    </w:p>
    <w:p w:rsidR="003F35BE" w:rsidRDefault="00DE6DE0">
      <w:pPr>
        <w:pStyle w:val="Prrafodelista"/>
        <w:numPr>
          <w:ilvl w:val="0"/>
          <w:numId w:val="1"/>
        </w:numPr>
        <w:tabs>
          <w:tab w:val="left" w:pos="532"/>
        </w:tabs>
        <w:spacing w:before="7" w:line="275" w:lineRule="exact"/>
        <w:ind w:left="531" w:hanging="330"/>
        <w:rPr>
          <w:sz w:val="24"/>
        </w:rPr>
      </w:pPr>
      <w:r>
        <w:rPr>
          <w:sz w:val="24"/>
        </w:rPr>
        <w:t>Estatutos Sociales del</w:t>
      </w:r>
      <w:r>
        <w:rPr>
          <w:spacing w:val="-14"/>
          <w:sz w:val="24"/>
        </w:rPr>
        <w:t xml:space="preserve"> </w:t>
      </w:r>
      <w:r>
        <w:rPr>
          <w:sz w:val="24"/>
        </w:rPr>
        <w:t>Oferente/Proponente.</w:t>
      </w:r>
    </w:p>
    <w:p w:rsidR="003F35BE" w:rsidRDefault="00DE6DE0">
      <w:pPr>
        <w:pStyle w:val="Prrafodelista"/>
        <w:numPr>
          <w:ilvl w:val="0"/>
          <w:numId w:val="1"/>
        </w:numPr>
        <w:tabs>
          <w:tab w:val="left" w:pos="532"/>
        </w:tabs>
        <w:spacing w:before="3" w:line="235" w:lineRule="auto"/>
        <w:ind w:right="1205" w:hanging="361"/>
        <w:rPr>
          <w:sz w:val="24"/>
        </w:rPr>
      </w:pPr>
      <w:r>
        <w:rPr>
          <w:sz w:val="24"/>
        </w:rPr>
        <w:t>Certificación emitida por la Dirección General de Impuestos Internos (DGII), donde</w:t>
      </w:r>
      <w:r>
        <w:rPr>
          <w:spacing w:val="-41"/>
          <w:sz w:val="24"/>
        </w:rPr>
        <w:t xml:space="preserve"> </w:t>
      </w:r>
      <w:r>
        <w:rPr>
          <w:sz w:val="24"/>
        </w:rPr>
        <w:t>se manifieste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Oferente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encuentra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día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pago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obligaciones</w:t>
      </w:r>
      <w:r>
        <w:rPr>
          <w:spacing w:val="-33"/>
          <w:sz w:val="24"/>
        </w:rPr>
        <w:t xml:space="preserve"> </w:t>
      </w:r>
      <w:r>
        <w:rPr>
          <w:sz w:val="24"/>
        </w:rPr>
        <w:t>fiscales.</w:t>
      </w:r>
    </w:p>
    <w:p w:rsidR="003F35BE" w:rsidRDefault="00DE6DE0">
      <w:pPr>
        <w:pStyle w:val="Prrafodelista"/>
        <w:numPr>
          <w:ilvl w:val="0"/>
          <w:numId w:val="1"/>
        </w:numPr>
        <w:tabs>
          <w:tab w:val="left" w:pos="532"/>
        </w:tabs>
        <w:spacing w:before="2"/>
        <w:ind w:right="1074" w:hanging="361"/>
        <w:rPr>
          <w:sz w:val="24"/>
        </w:rPr>
      </w:pPr>
      <w:r>
        <w:rPr>
          <w:sz w:val="24"/>
        </w:rPr>
        <w:t>Certificación</w:t>
      </w:r>
      <w:r>
        <w:rPr>
          <w:spacing w:val="-3"/>
          <w:sz w:val="24"/>
        </w:rPr>
        <w:t xml:space="preserve"> </w:t>
      </w:r>
      <w:r>
        <w:rPr>
          <w:sz w:val="24"/>
        </w:rPr>
        <w:t>emitida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Tesorería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Seguridad Social,</w:t>
      </w:r>
      <w:r>
        <w:rPr>
          <w:spacing w:val="-3"/>
          <w:sz w:val="24"/>
        </w:rPr>
        <w:t xml:space="preserve"> </w:t>
      </w:r>
      <w:r>
        <w:rPr>
          <w:sz w:val="24"/>
        </w:rPr>
        <w:t>donde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manifieste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el Oferente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encuentra</w:t>
      </w:r>
      <w:r>
        <w:rPr>
          <w:spacing w:val="-4"/>
          <w:sz w:val="24"/>
        </w:rPr>
        <w:t xml:space="preserve"> </w:t>
      </w:r>
      <w:r>
        <w:rPr>
          <w:sz w:val="24"/>
        </w:rPr>
        <w:t>al día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pago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sus obligaciones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8"/>
          <w:sz w:val="24"/>
        </w:rPr>
        <w:t xml:space="preserve"> </w:t>
      </w:r>
      <w:r>
        <w:rPr>
          <w:sz w:val="24"/>
        </w:rPr>
        <w:t>Social.</w:t>
      </w:r>
    </w:p>
    <w:p w:rsidR="003F35BE" w:rsidRDefault="00DE6DE0">
      <w:pPr>
        <w:pStyle w:val="Prrafodelista"/>
        <w:numPr>
          <w:ilvl w:val="0"/>
          <w:numId w:val="1"/>
        </w:numPr>
        <w:tabs>
          <w:tab w:val="left" w:pos="532"/>
        </w:tabs>
        <w:spacing w:before="7"/>
        <w:ind w:left="531" w:hanging="330"/>
        <w:rPr>
          <w:sz w:val="24"/>
        </w:rPr>
      </w:pP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Mercantil.</w:t>
      </w:r>
    </w:p>
    <w:p w:rsidR="003F35BE" w:rsidRDefault="00DE6DE0">
      <w:pPr>
        <w:pStyle w:val="Prrafodelista"/>
        <w:numPr>
          <w:ilvl w:val="0"/>
          <w:numId w:val="1"/>
        </w:numPr>
        <w:tabs>
          <w:tab w:val="left" w:pos="563"/>
        </w:tabs>
        <w:spacing w:before="3" w:line="274" w:lineRule="exact"/>
        <w:ind w:hanging="361"/>
        <w:rPr>
          <w:sz w:val="24"/>
        </w:rPr>
      </w:pPr>
      <w:r>
        <w:rPr>
          <w:sz w:val="24"/>
        </w:rPr>
        <w:t>Estados</w:t>
      </w:r>
      <w:r>
        <w:rPr>
          <w:spacing w:val="-9"/>
          <w:sz w:val="24"/>
        </w:rPr>
        <w:t xml:space="preserve"> </w:t>
      </w:r>
      <w:r>
        <w:rPr>
          <w:sz w:val="24"/>
        </w:rPr>
        <w:t>financieros</w:t>
      </w:r>
    </w:p>
    <w:p w:rsidR="003F35BE" w:rsidRDefault="00DE6DE0">
      <w:pPr>
        <w:pStyle w:val="Prrafodelista"/>
        <w:numPr>
          <w:ilvl w:val="0"/>
          <w:numId w:val="1"/>
        </w:numPr>
        <w:tabs>
          <w:tab w:val="left" w:pos="563"/>
        </w:tabs>
        <w:spacing w:line="274" w:lineRule="exact"/>
        <w:ind w:hanging="361"/>
        <w:rPr>
          <w:sz w:val="24"/>
        </w:rPr>
      </w:pPr>
      <w:r>
        <w:rPr>
          <w:sz w:val="24"/>
        </w:rPr>
        <w:t>Garantía de lo</w:t>
      </w:r>
      <w:r>
        <w:rPr>
          <w:spacing w:val="-6"/>
          <w:sz w:val="24"/>
        </w:rPr>
        <w:t xml:space="preserve"> </w:t>
      </w:r>
      <w:r>
        <w:rPr>
          <w:sz w:val="24"/>
        </w:rPr>
        <w:t>ofertado</w:t>
      </w:r>
    </w:p>
    <w:p w:rsidR="003F35BE" w:rsidRDefault="003F35BE">
      <w:pPr>
        <w:pStyle w:val="Textoindependiente"/>
        <w:spacing w:before="9"/>
        <w:rPr>
          <w:sz w:val="13"/>
        </w:rPr>
      </w:pPr>
    </w:p>
    <w:p w:rsidR="003F35BE" w:rsidRDefault="00DE6DE0">
      <w:pPr>
        <w:pStyle w:val="Heading2"/>
        <w:spacing w:before="100"/>
        <w:ind w:right="669"/>
        <w:rPr>
          <w:rFonts w:ascii="Arial Narrow" w:hAnsi="Arial Narrow"/>
        </w:rPr>
      </w:pPr>
      <w:r>
        <w:rPr>
          <w:rFonts w:ascii="Arial Narrow" w:hAnsi="Arial Narrow"/>
        </w:rPr>
        <w:t>Para mayor información contactar con el departamento de Compras de la Superintendencia de Vigilancia y Seguridad Privada</w:t>
      </w:r>
      <w:r>
        <w:t xml:space="preserve">, </w:t>
      </w:r>
      <w:r>
        <w:rPr>
          <w:rFonts w:ascii="Arial Narrow" w:hAnsi="Arial Narrow"/>
        </w:rPr>
        <w:t>Al teléfono 829-893-4080 ex 2018 y 2010.</w:t>
      </w:r>
    </w:p>
    <w:sectPr w:rsidR="003F35BE" w:rsidSect="003F35BE">
      <w:pgSz w:w="12240" w:h="15840"/>
      <w:pgMar w:top="1500" w:right="8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536"/>
    <w:multiLevelType w:val="hybridMultilevel"/>
    <w:tmpl w:val="2AE03EF4"/>
    <w:lvl w:ilvl="0" w:tplc="A1ACD0FC">
      <w:numFmt w:val="bullet"/>
      <w:lvlText w:val=""/>
      <w:lvlJc w:val="left"/>
      <w:pPr>
        <w:ind w:left="982" w:hanging="358"/>
      </w:pPr>
      <w:rPr>
        <w:rFonts w:ascii="Wingdings" w:eastAsia="Wingdings" w:hAnsi="Wingdings" w:cs="Wingdings" w:hint="default"/>
        <w:color w:val="0360C1"/>
        <w:w w:val="99"/>
        <w:sz w:val="24"/>
        <w:szCs w:val="24"/>
        <w:lang w:val="es-ES" w:eastAsia="es-ES" w:bidi="es-ES"/>
      </w:rPr>
    </w:lvl>
    <w:lvl w:ilvl="1" w:tplc="F1560212">
      <w:numFmt w:val="bullet"/>
      <w:lvlText w:val="•"/>
      <w:lvlJc w:val="left"/>
      <w:pPr>
        <w:ind w:left="1888" w:hanging="358"/>
      </w:pPr>
      <w:rPr>
        <w:rFonts w:hint="default"/>
        <w:lang w:val="es-ES" w:eastAsia="es-ES" w:bidi="es-ES"/>
      </w:rPr>
    </w:lvl>
    <w:lvl w:ilvl="2" w:tplc="E6E0CBC0">
      <w:numFmt w:val="bullet"/>
      <w:lvlText w:val="•"/>
      <w:lvlJc w:val="left"/>
      <w:pPr>
        <w:ind w:left="2796" w:hanging="358"/>
      </w:pPr>
      <w:rPr>
        <w:rFonts w:hint="default"/>
        <w:lang w:val="es-ES" w:eastAsia="es-ES" w:bidi="es-ES"/>
      </w:rPr>
    </w:lvl>
    <w:lvl w:ilvl="3" w:tplc="364A4434">
      <w:numFmt w:val="bullet"/>
      <w:lvlText w:val="•"/>
      <w:lvlJc w:val="left"/>
      <w:pPr>
        <w:ind w:left="3704" w:hanging="358"/>
      </w:pPr>
      <w:rPr>
        <w:rFonts w:hint="default"/>
        <w:lang w:val="es-ES" w:eastAsia="es-ES" w:bidi="es-ES"/>
      </w:rPr>
    </w:lvl>
    <w:lvl w:ilvl="4" w:tplc="F87A2496">
      <w:numFmt w:val="bullet"/>
      <w:lvlText w:val="•"/>
      <w:lvlJc w:val="left"/>
      <w:pPr>
        <w:ind w:left="4612" w:hanging="358"/>
      </w:pPr>
      <w:rPr>
        <w:rFonts w:hint="default"/>
        <w:lang w:val="es-ES" w:eastAsia="es-ES" w:bidi="es-ES"/>
      </w:rPr>
    </w:lvl>
    <w:lvl w:ilvl="5" w:tplc="12A21DA0">
      <w:numFmt w:val="bullet"/>
      <w:lvlText w:val="•"/>
      <w:lvlJc w:val="left"/>
      <w:pPr>
        <w:ind w:left="5520" w:hanging="358"/>
      </w:pPr>
      <w:rPr>
        <w:rFonts w:hint="default"/>
        <w:lang w:val="es-ES" w:eastAsia="es-ES" w:bidi="es-ES"/>
      </w:rPr>
    </w:lvl>
    <w:lvl w:ilvl="6" w:tplc="E9FADC36">
      <w:numFmt w:val="bullet"/>
      <w:lvlText w:val="•"/>
      <w:lvlJc w:val="left"/>
      <w:pPr>
        <w:ind w:left="6428" w:hanging="358"/>
      </w:pPr>
      <w:rPr>
        <w:rFonts w:hint="default"/>
        <w:lang w:val="es-ES" w:eastAsia="es-ES" w:bidi="es-ES"/>
      </w:rPr>
    </w:lvl>
    <w:lvl w:ilvl="7" w:tplc="AFF25898">
      <w:numFmt w:val="bullet"/>
      <w:lvlText w:val="•"/>
      <w:lvlJc w:val="left"/>
      <w:pPr>
        <w:ind w:left="7336" w:hanging="358"/>
      </w:pPr>
      <w:rPr>
        <w:rFonts w:hint="default"/>
        <w:lang w:val="es-ES" w:eastAsia="es-ES" w:bidi="es-ES"/>
      </w:rPr>
    </w:lvl>
    <w:lvl w:ilvl="8" w:tplc="15FEEEFA">
      <w:numFmt w:val="bullet"/>
      <w:lvlText w:val="•"/>
      <w:lvlJc w:val="left"/>
      <w:pPr>
        <w:ind w:left="8244" w:hanging="358"/>
      </w:pPr>
      <w:rPr>
        <w:rFonts w:hint="default"/>
        <w:lang w:val="es-ES" w:eastAsia="es-ES" w:bidi="es-ES"/>
      </w:rPr>
    </w:lvl>
  </w:abstractNum>
  <w:abstractNum w:abstractNumId="1">
    <w:nsid w:val="154415C9"/>
    <w:multiLevelType w:val="hybridMultilevel"/>
    <w:tmpl w:val="0EB23D1C"/>
    <w:lvl w:ilvl="0" w:tplc="EAE86CBA">
      <w:start w:val="1"/>
      <w:numFmt w:val="decimal"/>
      <w:lvlText w:val="%1)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32"/>
        <w:w w:val="93"/>
        <w:sz w:val="24"/>
        <w:szCs w:val="24"/>
        <w:lang w:val="es-ES" w:eastAsia="es-ES" w:bidi="es-ES"/>
      </w:rPr>
    </w:lvl>
    <w:lvl w:ilvl="1" w:tplc="8A8A5E30">
      <w:numFmt w:val="bullet"/>
      <w:lvlText w:val="•"/>
      <w:lvlJc w:val="left"/>
      <w:pPr>
        <w:ind w:left="2104" w:hanging="360"/>
      </w:pPr>
      <w:rPr>
        <w:rFonts w:hint="default"/>
        <w:lang w:val="es-ES" w:eastAsia="es-ES" w:bidi="es-ES"/>
      </w:rPr>
    </w:lvl>
    <w:lvl w:ilvl="2" w:tplc="BCAA68FA">
      <w:numFmt w:val="bullet"/>
      <w:lvlText w:val="•"/>
      <w:lvlJc w:val="left"/>
      <w:pPr>
        <w:ind w:left="2988" w:hanging="360"/>
      </w:pPr>
      <w:rPr>
        <w:rFonts w:hint="default"/>
        <w:lang w:val="es-ES" w:eastAsia="es-ES" w:bidi="es-ES"/>
      </w:rPr>
    </w:lvl>
    <w:lvl w:ilvl="3" w:tplc="D1508E14">
      <w:numFmt w:val="bullet"/>
      <w:lvlText w:val="•"/>
      <w:lvlJc w:val="left"/>
      <w:pPr>
        <w:ind w:left="3872" w:hanging="360"/>
      </w:pPr>
      <w:rPr>
        <w:rFonts w:hint="default"/>
        <w:lang w:val="es-ES" w:eastAsia="es-ES" w:bidi="es-ES"/>
      </w:rPr>
    </w:lvl>
    <w:lvl w:ilvl="4" w:tplc="3FF28A10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5" w:tplc="0E4483CE">
      <w:numFmt w:val="bullet"/>
      <w:lvlText w:val="•"/>
      <w:lvlJc w:val="left"/>
      <w:pPr>
        <w:ind w:left="5640" w:hanging="360"/>
      </w:pPr>
      <w:rPr>
        <w:rFonts w:hint="default"/>
        <w:lang w:val="es-ES" w:eastAsia="es-ES" w:bidi="es-ES"/>
      </w:rPr>
    </w:lvl>
    <w:lvl w:ilvl="6" w:tplc="FFD2B9A4">
      <w:numFmt w:val="bullet"/>
      <w:lvlText w:val="•"/>
      <w:lvlJc w:val="left"/>
      <w:pPr>
        <w:ind w:left="6524" w:hanging="360"/>
      </w:pPr>
      <w:rPr>
        <w:rFonts w:hint="default"/>
        <w:lang w:val="es-ES" w:eastAsia="es-ES" w:bidi="es-ES"/>
      </w:rPr>
    </w:lvl>
    <w:lvl w:ilvl="7" w:tplc="7234C7A0">
      <w:numFmt w:val="bullet"/>
      <w:lvlText w:val="•"/>
      <w:lvlJc w:val="left"/>
      <w:pPr>
        <w:ind w:left="7408" w:hanging="360"/>
      </w:pPr>
      <w:rPr>
        <w:rFonts w:hint="default"/>
        <w:lang w:val="es-ES" w:eastAsia="es-ES" w:bidi="es-ES"/>
      </w:rPr>
    </w:lvl>
    <w:lvl w:ilvl="8" w:tplc="DA1018F0">
      <w:numFmt w:val="bullet"/>
      <w:lvlText w:val="•"/>
      <w:lvlJc w:val="left"/>
      <w:pPr>
        <w:ind w:left="8292" w:hanging="360"/>
      </w:pPr>
      <w:rPr>
        <w:rFonts w:hint="default"/>
        <w:lang w:val="es-ES" w:eastAsia="es-ES" w:bidi="es-ES"/>
      </w:rPr>
    </w:lvl>
  </w:abstractNum>
  <w:abstractNum w:abstractNumId="2">
    <w:nsid w:val="7926007A"/>
    <w:multiLevelType w:val="hybridMultilevel"/>
    <w:tmpl w:val="31980618"/>
    <w:lvl w:ilvl="0" w:tplc="0CBA87E8">
      <w:start w:val="1"/>
      <w:numFmt w:val="decimal"/>
      <w:lvlText w:val="%1)"/>
      <w:lvlJc w:val="left"/>
      <w:pPr>
        <w:ind w:left="562" w:hanging="32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6"/>
        <w:sz w:val="24"/>
        <w:szCs w:val="24"/>
        <w:lang w:val="es-ES" w:eastAsia="es-ES" w:bidi="es-ES"/>
      </w:rPr>
    </w:lvl>
    <w:lvl w:ilvl="1" w:tplc="3DDC86EE">
      <w:numFmt w:val="bullet"/>
      <w:lvlText w:val="•"/>
      <w:lvlJc w:val="left"/>
      <w:pPr>
        <w:ind w:left="1510" w:hanging="329"/>
      </w:pPr>
      <w:rPr>
        <w:rFonts w:hint="default"/>
        <w:lang w:val="es-ES" w:eastAsia="es-ES" w:bidi="es-ES"/>
      </w:rPr>
    </w:lvl>
    <w:lvl w:ilvl="2" w:tplc="E1728A8C">
      <w:numFmt w:val="bullet"/>
      <w:lvlText w:val="•"/>
      <w:lvlJc w:val="left"/>
      <w:pPr>
        <w:ind w:left="2460" w:hanging="329"/>
      </w:pPr>
      <w:rPr>
        <w:rFonts w:hint="default"/>
        <w:lang w:val="es-ES" w:eastAsia="es-ES" w:bidi="es-ES"/>
      </w:rPr>
    </w:lvl>
    <w:lvl w:ilvl="3" w:tplc="9E047F18">
      <w:numFmt w:val="bullet"/>
      <w:lvlText w:val="•"/>
      <w:lvlJc w:val="left"/>
      <w:pPr>
        <w:ind w:left="3410" w:hanging="329"/>
      </w:pPr>
      <w:rPr>
        <w:rFonts w:hint="default"/>
        <w:lang w:val="es-ES" w:eastAsia="es-ES" w:bidi="es-ES"/>
      </w:rPr>
    </w:lvl>
    <w:lvl w:ilvl="4" w:tplc="5732A884">
      <w:numFmt w:val="bullet"/>
      <w:lvlText w:val="•"/>
      <w:lvlJc w:val="left"/>
      <w:pPr>
        <w:ind w:left="4360" w:hanging="329"/>
      </w:pPr>
      <w:rPr>
        <w:rFonts w:hint="default"/>
        <w:lang w:val="es-ES" w:eastAsia="es-ES" w:bidi="es-ES"/>
      </w:rPr>
    </w:lvl>
    <w:lvl w:ilvl="5" w:tplc="467C7410">
      <w:numFmt w:val="bullet"/>
      <w:lvlText w:val="•"/>
      <w:lvlJc w:val="left"/>
      <w:pPr>
        <w:ind w:left="5310" w:hanging="329"/>
      </w:pPr>
      <w:rPr>
        <w:rFonts w:hint="default"/>
        <w:lang w:val="es-ES" w:eastAsia="es-ES" w:bidi="es-ES"/>
      </w:rPr>
    </w:lvl>
    <w:lvl w:ilvl="6" w:tplc="E69695D4">
      <w:numFmt w:val="bullet"/>
      <w:lvlText w:val="•"/>
      <w:lvlJc w:val="left"/>
      <w:pPr>
        <w:ind w:left="6260" w:hanging="329"/>
      </w:pPr>
      <w:rPr>
        <w:rFonts w:hint="default"/>
        <w:lang w:val="es-ES" w:eastAsia="es-ES" w:bidi="es-ES"/>
      </w:rPr>
    </w:lvl>
    <w:lvl w:ilvl="7" w:tplc="79FC34A6">
      <w:numFmt w:val="bullet"/>
      <w:lvlText w:val="•"/>
      <w:lvlJc w:val="left"/>
      <w:pPr>
        <w:ind w:left="7210" w:hanging="329"/>
      </w:pPr>
      <w:rPr>
        <w:rFonts w:hint="default"/>
        <w:lang w:val="es-ES" w:eastAsia="es-ES" w:bidi="es-ES"/>
      </w:rPr>
    </w:lvl>
    <w:lvl w:ilvl="8" w:tplc="56CC6572">
      <w:numFmt w:val="bullet"/>
      <w:lvlText w:val="•"/>
      <w:lvlJc w:val="left"/>
      <w:pPr>
        <w:ind w:left="8160" w:hanging="329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F35BE"/>
    <w:rsid w:val="002163E9"/>
    <w:rsid w:val="003F35BE"/>
    <w:rsid w:val="007C0286"/>
    <w:rsid w:val="00833FBC"/>
    <w:rsid w:val="00DE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35BE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5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F35B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F35BE"/>
    <w:pPr>
      <w:ind w:right="10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F35BE"/>
    <w:pPr>
      <w:ind w:left="140"/>
      <w:outlineLvl w:val="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F35BE"/>
    <w:pPr>
      <w:ind w:left="1222" w:hanging="366"/>
    </w:pPr>
  </w:style>
  <w:style w:type="paragraph" w:customStyle="1" w:styleId="TableParagraph">
    <w:name w:val="Table Paragraph"/>
    <w:basedOn w:val="Normal"/>
    <w:uiPriority w:val="1"/>
    <w:qFormat/>
    <w:rsid w:val="003F35B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E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cia@ssp.mil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ia@ssp.mil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tecnica combustibe 2019.docx</vt:lpstr>
    </vt:vector>
  </TitlesOfParts>
  <Company>Hewlett-Packard Company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tecnica combustibe 2019.docx</dc:title>
  <dc:creator>Contalidad</dc:creator>
  <cp:lastModifiedBy>Maya</cp:lastModifiedBy>
  <cp:revision>4</cp:revision>
  <dcterms:created xsi:type="dcterms:W3CDTF">2019-07-13T13:19:00Z</dcterms:created>
  <dcterms:modified xsi:type="dcterms:W3CDTF">2019-07-13T14:38:00Z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2019-07-13T00:00:00Z</vt:filetime>
  </property>
</Properties>
</file>